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eastAsia="zh-CN"/>
        </w:rPr>
        <w:t>物价局2019年</w:t>
      </w:r>
      <w:r>
        <w:rPr>
          <w:rFonts w:cs="Times New Roman" w:asciiTheme="majorEastAsia" w:hAnsiTheme="majorEastAsia" w:eastAsiaTheme="majorEastAsia"/>
          <w:b/>
          <w:sz w:val="44"/>
          <w:szCs w:val="44"/>
        </w:rPr>
        <w:t>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物价局2019年</w:t>
      </w:r>
      <w:r>
        <w:rPr>
          <w:rFonts w:ascii="仿宋" w:hAnsi="仿宋" w:eastAsia="仿宋" w:cs="Times New Roman"/>
          <w:sz w:val="32"/>
          <w:szCs w:val="32"/>
        </w:rPr>
        <w:t>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bookmarkStart w:id="2" w:name="_GoBack"/>
      <w:bookmarkEnd w:id="2"/>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、监测、预测全县价格总水平及其结构变动趋势，提出调控意见和建议。</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、对国家和省市出台的价格（收费）改革方案及时组织实施。</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、对实行政府定价或政府指价的商品价格实行管理，对市场调节的商品和服务价格实行间接调控。</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、管理国家机关收费、公益事业收费、公用事业收费、中介服务收费和重要的经营性收费。</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、负责市场物价变化情况监测，向市局和县委、县政府反映物价方面的重要情况，为政府实施宏观调控提供决策依据；向企业发布价格信息。</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、依据有关价格法律、法规、规章，对全县商品和服务价格（收费）的监督检查，查处违法行为，受理对价格（收费）违法行为的举报。</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、负责重要工业品和农产品成本调查工作。</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、负责全县价格认证、价格评估、价格咨询等价格价格服务工作。</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、承办县政府交办的其它工作。</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6"/>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单位名称</w:t>
            </w:r>
          </w:p>
        </w:tc>
        <w:tc>
          <w:tcPr>
            <w:tcW w:w="1134"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单位性质</w:t>
            </w:r>
          </w:p>
        </w:tc>
        <w:tc>
          <w:tcPr>
            <w:tcW w:w="1276"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单位规格</w:t>
            </w:r>
          </w:p>
        </w:tc>
        <w:tc>
          <w:tcPr>
            <w:tcW w:w="2902"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香河县物价部门</w:t>
            </w:r>
          </w:p>
        </w:tc>
        <w:tc>
          <w:tcPr>
            <w:tcW w:w="1134"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行政</w:t>
            </w:r>
          </w:p>
        </w:tc>
        <w:tc>
          <w:tcPr>
            <w:tcW w:w="1276"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乡科级</w:t>
            </w:r>
          </w:p>
        </w:tc>
        <w:tc>
          <w:tcPr>
            <w:tcW w:w="2902"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w:t>
      </w:r>
      <w:r>
        <w:rPr>
          <w:rFonts w:hint="eastAsia" w:ascii="仿宋" w:hAnsi="仿宋" w:eastAsia="仿宋" w:cs="Times New Roman"/>
          <w:sz w:val="32"/>
          <w:szCs w:val="32"/>
          <w:lang w:eastAsia="zh-CN"/>
        </w:rPr>
        <w:t>2019年</w:t>
      </w:r>
      <w:r>
        <w:rPr>
          <w:rFonts w:ascii="仿宋" w:hAnsi="仿宋" w:eastAsia="仿宋" w:cs="Times New Roman"/>
          <w:sz w:val="32"/>
          <w:szCs w:val="32"/>
        </w:rPr>
        <w:t>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459.05</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459.05</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459.05</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物价局</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lang w:eastAsia="zh-CN"/>
        </w:rPr>
        <w:t>2019年</w:t>
      </w:r>
      <w:r>
        <w:rPr>
          <w:rFonts w:ascii="仿宋" w:hAnsi="仿宋" w:eastAsia="仿宋" w:cs="Times New Roman"/>
          <w:sz w:val="32"/>
          <w:szCs w:val="32"/>
        </w:rPr>
        <w:t>支出预算</w:t>
      </w:r>
      <w:r>
        <w:rPr>
          <w:rFonts w:hint="eastAsia" w:ascii="仿宋" w:hAnsi="仿宋" w:eastAsia="仿宋" w:cs="Times New Roman"/>
          <w:sz w:val="32"/>
          <w:szCs w:val="32"/>
          <w:lang w:val="en-US" w:eastAsia="zh-CN"/>
        </w:rPr>
        <w:t>459.05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359.05</w:t>
      </w:r>
      <w:r>
        <w:rPr>
          <w:rFonts w:ascii="仿宋" w:hAnsi="仿宋" w:eastAsia="仿宋" w:cs="Times New Roman"/>
          <w:sz w:val="32"/>
          <w:szCs w:val="32"/>
        </w:rPr>
        <w:t>万元，包括人员经费和日常公用经费；项目支出</w:t>
      </w:r>
      <w:r>
        <w:rPr>
          <w:rFonts w:hint="eastAsia" w:ascii="仿宋" w:hAnsi="仿宋" w:eastAsia="仿宋" w:cs="Times New Roman"/>
          <w:sz w:val="32"/>
          <w:szCs w:val="32"/>
          <w:lang w:val="en-US" w:eastAsia="zh-CN"/>
        </w:rPr>
        <w:t>100</w:t>
      </w:r>
      <w:r>
        <w:rPr>
          <w:rFonts w:ascii="仿宋" w:hAnsi="仿宋" w:eastAsia="仿宋" w:cs="Times New Roman"/>
          <w:sz w:val="32"/>
          <w:szCs w:val="32"/>
        </w:rPr>
        <w:t>万元，包括本级支出</w:t>
      </w:r>
      <w:r>
        <w:rPr>
          <w:rFonts w:hint="eastAsia" w:ascii="仿宋" w:hAnsi="仿宋" w:eastAsia="仿宋" w:cs="Times New Roman"/>
          <w:sz w:val="32"/>
          <w:szCs w:val="32"/>
          <w:lang w:val="en-US" w:eastAsia="zh-CN"/>
        </w:rPr>
        <w:t>100</w:t>
      </w:r>
      <w:r>
        <w:rPr>
          <w:rFonts w:ascii="仿宋" w:hAnsi="仿宋" w:eastAsia="仿宋" w:cs="Times New Roman"/>
          <w:sz w:val="32"/>
          <w:szCs w:val="32"/>
        </w:rPr>
        <w:t>万元和对下补助支出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万元，主要为</w:t>
      </w:r>
      <w:r>
        <w:rPr>
          <w:rFonts w:hint="eastAsia" w:ascii="仿宋" w:hAnsi="仿宋" w:eastAsia="仿宋"/>
          <w:sz w:val="32"/>
          <w:szCs w:val="32"/>
        </w:rPr>
        <w:t>价格鉴证经费、认证中心评估经费、物价监督检查经费</w:t>
      </w:r>
      <w:r>
        <w:rPr>
          <w:rFonts w:hint="eastAsia" w:ascii="仿宋" w:hAnsi="仿宋" w:eastAsia="仿宋"/>
          <w:sz w:val="32"/>
          <w:szCs w:val="32"/>
          <w:lang w:eastAsia="zh-CN"/>
        </w:rPr>
        <w:t>及</w:t>
      </w:r>
      <w:r>
        <w:rPr>
          <w:rFonts w:hint="eastAsia" w:ascii="仿宋" w:hAnsi="仿宋" w:eastAsia="仿宋"/>
          <w:sz w:val="32"/>
          <w:szCs w:val="32"/>
        </w:rPr>
        <w:t>城市公共汽车运行、城市客运出租车运价及污水处理费成本监审</w:t>
      </w:r>
      <w:r>
        <w:rPr>
          <w:rFonts w:hint="eastAsia" w:ascii="仿宋" w:hAnsi="仿宋" w:eastAsia="仿宋" w:cs="Times New Roman"/>
          <w:sz w:val="32"/>
          <w:szCs w:val="32"/>
          <w:lang w:eastAsia="zh-CN"/>
        </w:rPr>
        <w:t>经费</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2019年</w:t>
      </w:r>
      <w:r>
        <w:rPr>
          <w:rFonts w:ascii="仿宋" w:hAnsi="仿宋" w:eastAsia="仿宋" w:cs="Times New Roman"/>
          <w:sz w:val="32"/>
          <w:szCs w:val="32"/>
        </w:rPr>
        <w:t>预算收支安排</w:t>
      </w:r>
      <w:r>
        <w:rPr>
          <w:rFonts w:hint="eastAsia" w:ascii="仿宋" w:hAnsi="仿宋" w:eastAsia="仿宋" w:cs="Times New Roman"/>
          <w:sz w:val="32"/>
          <w:szCs w:val="32"/>
          <w:lang w:val="en-US" w:eastAsia="zh-CN"/>
        </w:rPr>
        <w:t>459.05万元，较2018年预算增加16.04万元，其中：基本支出增加16.04万元，主要为增加人员经费支出。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38.31</w:t>
      </w:r>
      <w:r>
        <w:rPr>
          <w:rFonts w:hint="eastAsia" w:ascii="仿宋" w:hAnsi="仿宋" w:eastAsia="仿宋" w:cs="Times New Roman"/>
          <w:sz w:val="32"/>
          <w:szCs w:val="32"/>
        </w:rPr>
        <w:t>万元</w:t>
      </w:r>
      <w:r>
        <w:rPr>
          <w:rFonts w:ascii="仿宋" w:hAnsi="仿宋" w:eastAsia="仿宋" w:cs="Times New Roman"/>
          <w:sz w:val="32"/>
          <w:szCs w:val="32"/>
        </w:rPr>
        <w:t>，主要用于</w:t>
      </w:r>
      <w:r>
        <w:rPr>
          <w:rFonts w:hint="eastAsia" w:ascii="仿宋" w:hAnsi="仿宋" w:eastAsia="仿宋" w:cs="Times New Roman"/>
          <w:sz w:val="32"/>
          <w:szCs w:val="32"/>
          <w:lang w:eastAsia="zh-CN"/>
        </w:rPr>
        <w:t>物价局</w:t>
      </w:r>
      <w:r>
        <w:rPr>
          <w:rFonts w:ascii="仿宋" w:hAnsi="仿宋" w:eastAsia="仿宋" w:cs="Times New Roman"/>
          <w:sz w:val="32"/>
          <w:szCs w:val="32"/>
        </w:rPr>
        <w:t>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，与201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减少0.1万元</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主要原因是公车改革，压减支出</w:t>
      </w:r>
      <w:r>
        <w:rPr>
          <w:rFonts w:hint="eastAsia"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1.9</w:t>
      </w:r>
      <w:r>
        <w:rPr>
          <w:rFonts w:hint="eastAsia"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，公务用车运行费</w:t>
      </w:r>
      <w:r>
        <w:rPr>
          <w:rFonts w:hint="eastAsia" w:ascii="仿宋" w:hAnsi="仿宋" w:eastAsia="仿宋" w:cs="Times New Roman"/>
          <w:sz w:val="32"/>
          <w:szCs w:val="32"/>
          <w:lang w:val="en-US" w:eastAsia="zh-CN"/>
        </w:rPr>
        <w:t>1.9</w:t>
      </w:r>
      <w:r>
        <w:rPr>
          <w:rFonts w:hint="eastAsia" w:ascii="仿宋" w:hAnsi="仿宋" w:eastAsia="仿宋" w:cs="Times New Roman"/>
          <w:sz w:val="32"/>
          <w:szCs w:val="32"/>
        </w:rPr>
        <w:t>万元)，与201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减少0.1万元</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主要原因是公车改革，压减支出</w:t>
      </w:r>
      <w:r>
        <w:rPr>
          <w:rFonts w:hint="eastAsia" w:ascii="仿宋" w:hAnsi="仿宋" w:eastAsia="仿宋" w:cs="Times New Roman"/>
          <w:sz w:val="32"/>
          <w:szCs w:val="32"/>
        </w:rPr>
        <w:t>；公务接待费</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万元，与201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年持平</w:t>
      </w:r>
      <w:r>
        <w:rPr>
          <w:rFonts w:hint="eastAsia" w:ascii="仿宋" w:hAnsi="仿宋" w:eastAsia="仿宋" w:cs="Times New Roman"/>
          <w:sz w:val="32"/>
          <w:szCs w:val="32"/>
          <w:lang w:eastAsia="zh-CN"/>
        </w:rPr>
        <w:t>，</w:t>
      </w:r>
      <w:r>
        <w:rPr>
          <w:rFonts w:hint="eastAsia" w:ascii="仿宋" w:hAnsi="仿宋" w:eastAsia="仿宋" w:cs="Times New Roman"/>
          <w:sz w:val="32"/>
          <w:szCs w:val="32"/>
        </w:rPr>
        <w:t>无增减变化</w:t>
      </w:r>
      <w:r>
        <w:rPr>
          <w:rFonts w:hint="eastAsia" w:ascii="仿宋" w:hAnsi="仿宋" w:eastAsia="仿宋" w:cs="Times New Roman"/>
          <w:sz w:val="32"/>
          <w:szCs w:val="32"/>
          <w:lang w:eastAsia="zh-CN"/>
        </w:rPr>
        <w:t>。</w:t>
      </w:r>
      <w:r>
        <w:rPr>
          <w:rFonts w:hint="eastAsia" w:ascii="仿宋" w:hAnsi="仿宋" w:eastAsia="仿宋" w:cs="Times New Roman"/>
          <w:sz w:val="32"/>
          <w:szCs w:val="32"/>
        </w:rPr>
        <w:t xml:space="preserve"> </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、保持市场价格总水平基本稳定</w:t>
      </w:r>
      <w:r>
        <w:rPr>
          <w:rFonts w:ascii="仿宋" w:hAnsi="仿宋" w:eastAsia="仿宋"/>
          <w:sz w:val="32"/>
          <w:szCs w:val="32"/>
        </w:rPr>
        <w:t>,</w:t>
      </w:r>
      <w:r>
        <w:rPr>
          <w:rFonts w:hint="eastAsia" w:ascii="仿宋" w:hAnsi="仿宋" w:eastAsia="仿宋"/>
          <w:sz w:val="32"/>
          <w:szCs w:val="32"/>
        </w:rPr>
        <w:t>努力保障改善民生，促进经济持续健康发展和社会和谐稳定。</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、推进国家、省市价格政策落实，完善价格形成机制。</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、加强全县行政事业性收费标准制定调整工作。</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、政府价格决策科学和透明。</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、接受司法机关、行政机关提出的价格认定事项，遵循依法、公正、科学、效率的原则，作出准确、可靠的价格认定结论，为司法机关办理相关案件、为行政工作提供依据，保障司法、行政工作顺利进行。</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、接受纪检监察机关提出的价格认定事项，遵循依法、公正、科学、效率的原则，作出准确、可靠的价格认定结论，为纪检监察机关办理案件提供依据，保障纪检监察工作顺利进行。</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确保农产品调查合理布局，样本具有代表性，提高调查数据的科学性，为上级和县政府提供成本数据、分析预测趋势，为上级制定宏观经济政策、价格政策、稳定市场物价服务；使成本监审工作规范化、程序化，确保全县成本监审工作依法有序地开展，为政府制定价格提供成本数据支撑。</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、确保农产品调查合理布局，样本具有代表性，提高调查数据的科学性，为上级和县政府提供成本数据、分析预测趋势，为制定宏观经济政策、价格政策、稳定市场物价服务。</w:t>
      </w:r>
      <w:r>
        <w:rPr>
          <w:rFonts w:ascii="仿宋" w:hAnsi="仿宋" w:eastAsia="仿宋"/>
          <w:sz w:val="32"/>
          <w:szCs w:val="32"/>
        </w:rPr>
        <w:t xml:space="preserve">  </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、使成本监审工作规范化、程序化，确保成本监审工作依法有序地开展，为政府制定价格提供成本数据支撑。</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、治理价格违法行为，规范收费环境和价格秩序；确保价格行政执法、处罚、审理程序合法；推行明码标价，促进明码实价；促进经营者价格自律。</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、确保依法办案，确保价格行政执法、处罚、审理程序合法。</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、治理价格违法行为，规范收费环境和价格秩序；确保价格行政执法、处罚、审理程序合法；推行明码标价，促进明码实价；促进经营者价格自律。</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、建立舆情应急处置机制，健全价格舆情监测系统。</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、完善舆情应急处置平台。</w:t>
      </w:r>
      <w:r>
        <w:rPr>
          <w:rFonts w:ascii="仿宋" w:hAnsi="仿宋" w:eastAsia="仿宋"/>
          <w:sz w:val="32"/>
          <w:szCs w:val="32"/>
        </w:rPr>
        <w:t xml:space="preserve">  </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、增强行政调解与人民调解、司法调解的衔接配合，充分发挥价格争议行政调解在预防、化解价格争议矛盾纠纷中的作用。</w:t>
      </w:r>
    </w:p>
    <w:p>
      <w:pPr>
        <w:ind w:firstLine="643" w:firstLineChars="200"/>
        <w:jc w:val="left"/>
        <w:outlineLvl w:val="0"/>
        <w:rPr>
          <w:rFonts w:hint="eastAsia"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p>
    <w:p>
      <w:pPr>
        <w:ind w:firstLine="643" w:firstLineChars="200"/>
        <w:jc w:val="left"/>
        <w:outlineLvl w:val="0"/>
        <w:rPr>
          <w:rFonts w:hint="eastAsia" w:cs="Times New Roman" w:asciiTheme="minorEastAsia" w:hAnsiTheme="minorEastAsia"/>
          <w:b/>
          <w:sz w:val="32"/>
          <w:szCs w:val="32"/>
        </w:rPr>
      </w:pPr>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411</w:t>
            </w:r>
            <w:r>
              <w:rPr>
                <w:rFonts w:hint="eastAsia" w:ascii="方正小标宋_GBK" w:eastAsia="方正小标宋_GBK"/>
                <w:sz w:val="24"/>
              </w:rPr>
              <w:t>县物价局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一、价格总水平调控和价格管理</w:t>
            </w:r>
          </w:p>
        </w:tc>
        <w:tc>
          <w:tcPr>
            <w:tcW w:w="1276" w:type="dxa"/>
            <w:shd w:val="clear" w:color="auto" w:fill="auto"/>
            <w:vAlign w:val="center"/>
          </w:tcPr>
          <w:p>
            <w:pPr>
              <w:spacing w:line="300" w:lineRule="exact"/>
              <w:jc w:val="left"/>
              <w:rPr>
                <w:rFonts w:ascii="????_GBK" w:eastAsia="Times New Roman"/>
              </w:rPr>
            </w:pPr>
            <w:r>
              <w:rPr>
                <w:rFonts w:ascii="????_GBK" w:eastAsia="Times New Roman"/>
              </w:rPr>
              <w:t>45.00</w:t>
            </w:r>
          </w:p>
        </w:tc>
        <w:tc>
          <w:tcPr>
            <w:tcW w:w="2976" w:type="dxa"/>
            <w:shd w:val="clear" w:color="auto" w:fill="auto"/>
            <w:vAlign w:val="center"/>
          </w:tcPr>
          <w:p>
            <w:pPr>
              <w:spacing w:line="300" w:lineRule="exact"/>
              <w:jc w:val="left"/>
              <w:rPr>
                <w:rFonts w:ascii="????_GBK" w:eastAsia="Times New Roman"/>
              </w:rPr>
            </w:pPr>
            <w:r>
              <w:rPr>
                <w:rFonts w:hint="eastAsia" w:ascii="????_GBK" w:eastAsia="Times New Roman"/>
              </w:rPr>
              <w:t>根据国民经济发展需要和社会承受能力，拟订全县价格总水平年度调控计划和中长期调控目标，监测预测全县价格总水平及其结构变动趋势，提出调控建议。管理全县与国民经济和人民生活关系重大、资源稀缺、自然垄断经营的商品价格，拟订作价原则、办法。</w:t>
            </w:r>
          </w:p>
        </w:tc>
        <w:tc>
          <w:tcPr>
            <w:tcW w:w="2976" w:type="dxa"/>
            <w:shd w:val="clear" w:color="auto" w:fill="auto"/>
            <w:vAlign w:val="center"/>
          </w:tcPr>
          <w:p>
            <w:pPr>
              <w:spacing w:line="300" w:lineRule="exact"/>
              <w:jc w:val="left"/>
              <w:rPr>
                <w:rFonts w:ascii="????_GBK" w:eastAsia="Times New Roman"/>
              </w:rPr>
            </w:pPr>
            <w:r>
              <w:rPr>
                <w:rFonts w:hint="eastAsia" w:ascii="????_GBK" w:eastAsia="Times New Roman"/>
              </w:rPr>
              <w:t>保持市场价格总水平基本稳定</w:t>
            </w:r>
            <w:r>
              <w:rPr>
                <w:rFonts w:ascii="????_GBK" w:eastAsia="Times New Roman"/>
              </w:rPr>
              <w:t>,</w:t>
            </w:r>
            <w:r>
              <w:rPr>
                <w:rFonts w:hint="eastAsia" w:ascii="????_GBK" w:eastAsia="Times New Roman"/>
              </w:rPr>
              <w:t>努力保障改善民生，促进经济持续健康发展和社会和谐稳定。</w:t>
            </w:r>
          </w:p>
        </w:tc>
        <w:tc>
          <w:tcPr>
            <w:tcW w:w="1417" w:type="dxa"/>
            <w:shd w:val="clear" w:color="auto" w:fill="auto"/>
            <w:vAlign w:val="center"/>
          </w:tcPr>
          <w:p>
            <w:pPr>
              <w:spacing w:line="300" w:lineRule="exact"/>
              <w:jc w:val="left"/>
              <w:rPr>
                <w:rFonts w:ascii="????_GBK" w:eastAsia="Times New Roman"/>
              </w:rPr>
            </w:pPr>
          </w:p>
        </w:tc>
        <w:tc>
          <w:tcPr>
            <w:tcW w:w="737" w:type="dxa"/>
            <w:shd w:val="clear" w:color="auto" w:fill="auto"/>
            <w:vAlign w:val="center"/>
          </w:tcPr>
          <w:p>
            <w:pPr>
              <w:spacing w:line="300" w:lineRule="exact"/>
              <w:jc w:val="left"/>
              <w:rPr>
                <w:rFonts w:ascii="????_GBK" w:eastAsia="Times New Roman"/>
              </w:rPr>
            </w:pPr>
          </w:p>
        </w:tc>
        <w:tc>
          <w:tcPr>
            <w:tcW w:w="737" w:type="dxa"/>
            <w:shd w:val="clear" w:color="auto" w:fill="auto"/>
            <w:vAlign w:val="center"/>
          </w:tcPr>
          <w:p>
            <w:pPr>
              <w:spacing w:line="300" w:lineRule="exact"/>
              <w:jc w:val="left"/>
              <w:rPr>
                <w:rFonts w:ascii="????_GBK" w:eastAsia="Times New Roman"/>
              </w:rPr>
            </w:pPr>
          </w:p>
        </w:tc>
        <w:tc>
          <w:tcPr>
            <w:tcW w:w="737" w:type="dxa"/>
            <w:shd w:val="clear" w:color="auto" w:fill="auto"/>
            <w:vAlign w:val="center"/>
          </w:tcPr>
          <w:p>
            <w:pPr>
              <w:spacing w:line="300" w:lineRule="exact"/>
              <w:jc w:val="left"/>
              <w:rPr>
                <w:rFonts w:ascii="????_GBK" w:eastAsia="Times New Roman"/>
              </w:rPr>
            </w:pPr>
          </w:p>
        </w:tc>
        <w:tc>
          <w:tcPr>
            <w:tcW w:w="737" w:type="dxa"/>
            <w:shd w:val="clear" w:color="auto" w:fill="auto"/>
            <w:vAlign w:val="center"/>
          </w:tcPr>
          <w:p>
            <w:pPr>
              <w:spacing w:line="300" w:lineRule="exact"/>
              <w:jc w:val="left"/>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、拟订提出价格总水平年度调控目标和建议</w:t>
            </w:r>
          </w:p>
        </w:tc>
        <w:tc>
          <w:tcPr>
            <w:tcW w:w="1276" w:type="dxa"/>
            <w:vMerge w:val="restart"/>
            <w:shd w:val="clear" w:color="auto" w:fill="auto"/>
            <w:vAlign w:val="center"/>
          </w:tcPr>
          <w:p>
            <w:pPr>
              <w:spacing w:line="300" w:lineRule="exact"/>
              <w:jc w:val="left"/>
              <w:rPr>
                <w:rFonts w:ascii="????_GBK" w:eastAsia="Times New Roman"/>
              </w:rPr>
            </w:pP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拟订全县价格总水平年度调控计划，编制中长期调控目标。开展日常、突发事件、重要节假日等价格巡查监测，密切跟踪国内外经济和价格运行，健全应对价格异常波动处理机制，及时启动应急预案，把价格总水平稳定在合理区间。</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保持市场价格总水平基本稳定</w:t>
            </w:r>
            <w:r>
              <w:rPr>
                <w:rFonts w:ascii="????_GBK" w:eastAsia="Times New Roman"/>
              </w:rPr>
              <w:t>,</w:t>
            </w:r>
            <w:r>
              <w:rPr>
                <w:rFonts w:hint="eastAsia" w:ascii="????_GBK" w:eastAsia="Times New Roman"/>
              </w:rPr>
              <w:t>努力保障改善民生，促进经济持续健康发展和社会和谐稳定。</w:t>
            </w:r>
          </w:p>
        </w:tc>
        <w:tc>
          <w:tcPr>
            <w:tcW w:w="1417" w:type="dxa"/>
            <w:shd w:val="clear" w:color="auto" w:fill="auto"/>
            <w:vAlign w:val="center"/>
          </w:tcPr>
          <w:p>
            <w:pPr>
              <w:spacing w:line="300" w:lineRule="exact"/>
              <w:jc w:val="left"/>
              <w:rPr>
                <w:rFonts w:ascii="????_GBK" w:eastAsia="Times New Roman"/>
              </w:rPr>
            </w:pPr>
            <w:r>
              <w:rPr>
                <w:rFonts w:hint="eastAsia" w:ascii="????_GBK" w:eastAsia="Times New Roman"/>
              </w:rPr>
              <w:t>价格监测任务完成率</w:t>
            </w:r>
          </w:p>
        </w:tc>
        <w:tc>
          <w:tcPr>
            <w:tcW w:w="737" w:type="dxa"/>
            <w:shd w:val="clear" w:color="auto" w:fill="auto"/>
            <w:vAlign w:val="center"/>
          </w:tcPr>
          <w:p>
            <w:pPr>
              <w:spacing w:line="300" w:lineRule="exact"/>
              <w:jc w:val="left"/>
              <w:rPr>
                <w:rFonts w:ascii="????_GBK" w:eastAsia="Times New Roman"/>
              </w:rPr>
            </w:pPr>
            <w:r>
              <w:rPr>
                <w:rFonts w:ascii="????_GBK" w:eastAsia="Times New Roman"/>
              </w:rPr>
              <w:t>100%</w:t>
            </w:r>
          </w:p>
        </w:tc>
        <w:tc>
          <w:tcPr>
            <w:tcW w:w="737" w:type="dxa"/>
            <w:shd w:val="clear" w:color="auto" w:fill="auto"/>
            <w:vAlign w:val="center"/>
          </w:tcPr>
          <w:p>
            <w:pPr>
              <w:spacing w:line="300" w:lineRule="exact"/>
              <w:jc w:val="left"/>
              <w:rPr>
                <w:rFonts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居民消费价格年度预期目标完成情况</w:t>
            </w:r>
          </w:p>
        </w:tc>
        <w:tc>
          <w:tcPr>
            <w:tcW w:w="737" w:type="dxa"/>
            <w:shd w:val="clear" w:color="auto" w:fill="auto"/>
            <w:vAlign w:val="center"/>
          </w:tcPr>
          <w:p>
            <w:pPr>
              <w:spacing w:line="300" w:lineRule="exact"/>
              <w:jc w:val="left"/>
              <w:rPr>
                <w:rFonts w:ascii="????_GBK" w:eastAsia="Times New Roman"/>
              </w:rPr>
            </w:pPr>
            <w:r>
              <w:rPr>
                <w:rFonts w:hint="eastAsia" w:ascii="????_GBK" w:eastAsia="Times New Roman"/>
              </w:rPr>
              <w:t>预期目标以内</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预期目标左右</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较大幅度超过预期目标</w:t>
            </w:r>
          </w:p>
        </w:tc>
        <w:tc>
          <w:tcPr>
            <w:tcW w:w="737" w:type="dxa"/>
            <w:shd w:val="clear" w:color="auto" w:fill="auto"/>
            <w:vAlign w:val="center"/>
          </w:tcPr>
          <w:p>
            <w:pPr>
              <w:spacing w:line="300" w:lineRule="exact"/>
              <w:jc w:val="left"/>
              <w:rPr>
                <w:rFonts w:ascii="????_GBK" w:eastAsia="Times New Roman"/>
              </w:rPr>
            </w:pPr>
            <w:r>
              <w:rPr>
                <w:rFonts w:hint="eastAsia" w:ascii="????_GBK" w:eastAsia="Times New Roman"/>
              </w:rPr>
              <w:t>大幅度超过预期目标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、调整商品、运输、服务价格</w:t>
            </w:r>
          </w:p>
        </w:tc>
        <w:tc>
          <w:tcPr>
            <w:tcW w:w="1276" w:type="dxa"/>
            <w:vMerge w:val="restart"/>
            <w:shd w:val="clear" w:color="auto" w:fill="auto"/>
            <w:vAlign w:val="center"/>
          </w:tcPr>
          <w:p>
            <w:pPr>
              <w:spacing w:line="300" w:lineRule="exact"/>
              <w:jc w:val="left"/>
              <w:rPr>
                <w:rFonts w:ascii="????_GBK" w:eastAsia="Times New Roman"/>
              </w:rPr>
            </w:pP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落实国家电力、燃气、热力等价格政策，拟定调整方案，推进价格机制改革。</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推进国家、省市价格政策落实，完善价格形成机制。</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年度重点价格改革任务完成率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60%</w:t>
            </w:r>
          </w:p>
        </w:tc>
        <w:tc>
          <w:tcPr>
            <w:tcW w:w="737" w:type="dxa"/>
            <w:shd w:val="clear" w:color="auto" w:fill="auto"/>
            <w:vAlign w:val="center"/>
          </w:tcPr>
          <w:p>
            <w:pPr>
              <w:spacing w:line="300" w:lineRule="exact"/>
              <w:jc w:val="left"/>
              <w:rPr>
                <w:rFonts w:hint="eastAsia" w:ascii="????_GBK" w:eastAsia="Times New Roman"/>
              </w:rPr>
            </w:pPr>
            <w:r>
              <w:rPr>
                <w:rFonts w:ascii="????_GBK" w:eastAsia="Times New Roman"/>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国家、省市价格政策落实情况</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按规定时限全部完成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按规定时限大部分完成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按规定时限基本完成</w:t>
            </w:r>
          </w:p>
        </w:tc>
        <w:tc>
          <w:tcPr>
            <w:tcW w:w="737" w:type="dxa"/>
            <w:shd w:val="clear" w:color="auto" w:fill="auto"/>
            <w:vAlign w:val="center"/>
          </w:tcPr>
          <w:p>
            <w:pPr>
              <w:spacing w:line="300" w:lineRule="exact"/>
              <w:jc w:val="left"/>
              <w:rPr>
                <w:rFonts w:ascii="????_GBK" w:eastAsia="Times New Roman"/>
              </w:rPr>
            </w:pPr>
            <w:r>
              <w:rPr>
                <w:rFonts w:hint="eastAsia" w:ascii="????_GBK" w:eastAsia="Times New Roman"/>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、拟订收费标准</w:t>
            </w:r>
          </w:p>
        </w:tc>
        <w:tc>
          <w:tcPr>
            <w:tcW w:w="1276" w:type="dxa"/>
            <w:vMerge w:val="restart"/>
            <w:shd w:val="clear" w:color="auto" w:fill="auto"/>
            <w:vAlign w:val="center"/>
          </w:tcPr>
          <w:p>
            <w:pPr>
              <w:spacing w:line="300" w:lineRule="exact"/>
              <w:jc w:val="left"/>
              <w:rPr>
                <w:rFonts w:ascii="????_GBK" w:eastAsia="Times New Roman"/>
              </w:rPr>
            </w:pP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根据国家、省市政策和事业发展需要，制定和调整国家机关、公益事业、公用事业、中介服务和重要经营收费的标准并监督执行。</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加强全县行政事业性收费标准制定调整工作</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收费标准规范有效性</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规范有效</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比较规范有效</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基本规范有效</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不规范，无效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收费标准制定工作完成率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按规定时限全部完成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按规定时限大部分完成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按规定时限基本完成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、组织价格听证会</w:t>
            </w:r>
          </w:p>
        </w:tc>
        <w:tc>
          <w:tcPr>
            <w:tcW w:w="1276" w:type="dxa"/>
            <w:shd w:val="clear" w:color="auto" w:fill="auto"/>
            <w:vAlign w:val="center"/>
          </w:tcPr>
          <w:p>
            <w:pPr>
              <w:spacing w:line="300" w:lineRule="exact"/>
              <w:jc w:val="left"/>
              <w:rPr>
                <w:rFonts w:ascii="????_GBK" w:eastAsia="Times New Roman"/>
              </w:rPr>
            </w:pP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在制定政府指导价、政府定价过程中，组织召开听证会，征求经营者、消费者和有关方面的意见，对制定价格的必要性、可行性进行论证。</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政府价格决策科学和透明</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召开听证会工作完成率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按规定时限全部完成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按规定时限大部分完成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按规定时限基本完成</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、司法案件涉案财物、行政工作所涉财物价格认定</w:t>
            </w:r>
          </w:p>
        </w:tc>
        <w:tc>
          <w:tcPr>
            <w:tcW w:w="1276" w:type="dxa"/>
            <w:vMerge w:val="restart"/>
            <w:shd w:val="clear" w:color="auto" w:fill="auto"/>
            <w:vAlign w:val="center"/>
          </w:tcPr>
          <w:p>
            <w:pPr>
              <w:spacing w:line="300" w:lineRule="exact"/>
              <w:jc w:val="left"/>
              <w:rPr>
                <w:rFonts w:ascii="????_GBK" w:eastAsia="Times New Roman"/>
              </w:rPr>
            </w:pPr>
            <w:r>
              <w:rPr>
                <w:rFonts w:ascii="????_GBK" w:eastAsia="Times New Roman"/>
              </w:rPr>
              <w:t>45.00</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接受司法机关、行政机关提出的价格认定事项，遵循依法、公正、科学、效率的原则，作出准确、可靠的价格认定结论，为司法机关办理相关案件、为行政工作提供依据，保障司法、行政工作顺利进行</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认定结论按期完成率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hint="eastAsia"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办案准确率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、纪检监察案件涉案财物价格认定</w:t>
            </w:r>
          </w:p>
        </w:tc>
        <w:tc>
          <w:tcPr>
            <w:tcW w:w="1276" w:type="dxa"/>
            <w:vMerge w:val="restart"/>
            <w:shd w:val="clear" w:color="auto" w:fill="auto"/>
            <w:vAlign w:val="center"/>
          </w:tcPr>
          <w:p>
            <w:pPr>
              <w:spacing w:line="300" w:lineRule="exact"/>
              <w:jc w:val="left"/>
              <w:rPr>
                <w:rFonts w:ascii="????_GBK" w:eastAsia="Times New Roman"/>
              </w:rPr>
            </w:pP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经纪检监察机关提出，办理纪检监察机关查办案件涉案财物价格认定；办理本级价格认定复核事项</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接受纪检监察机关提出的价格认定事项，遵循依法、公正、科学、效率的原则，作出准确、可靠的价格认定结论，为纪检监察机关办理案件提供依据，保障纪检监察工作顺利进行</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价格认定案件办结率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案件复核维持率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二、价格成本调查和监审</w:t>
            </w:r>
          </w:p>
        </w:tc>
        <w:tc>
          <w:tcPr>
            <w:tcW w:w="1276" w:type="dxa"/>
            <w:shd w:val="clear" w:color="auto" w:fill="auto"/>
            <w:vAlign w:val="center"/>
          </w:tcPr>
          <w:p>
            <w:pPr>
              <w:spacing w:line="300" w:lineRule="exact"/>
              <w:jc w:val="left"/>
              <w:rPr>
                <w:rFonts w:ascii="????_GBK" w:eastAsia="Times New Roman"/>
              </w:rPr>
            </w:pPr>
            <w:r>
              <w:rPr>
                <w:rFonts w:ascii="????_GBK" w:eastAsia="Times New Roman"/>
              </w:rPr>
              <w:t>50.00</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建立健全产品成本信息网络，组织成本汇总和成本分析；对列入《县价格成本监审管理目录》的商品和收费项目进行调定价监审。</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确保农产品调查合理布局，样本具有代表性，提高调查数据的科学性，为上级和县政府提供成本数据、分析预测趋势，为上级制定宏观经济政策、价格政策、稳定市场物价服务；使成本监审工作规范化、程序化，确保全县成本监审工作依法有序地开展，为政府制定价格提供成本数据支撑。</w:t>
            </w:r>
          </w:p>
        </w:tc>
        <w:tc>
          <w:tcPr>
            <w:tcW w:w="141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、实施全县农产品成本调查</w:t>
            </w:r>
          </w:p>
        </w:tc>
        <w:tc>
          <w:tcPr>
            <w:tcW w:w="1276" w:type="dxa"/>
            <w:vMerge w:val="restart"/>
            <w:shd w:val="clear" w:color="auto" w:fill="auto"/>
            <w:vAlign w:val="center"/>
          </w:tcPr>
          <w:p>
            <w:pPr>
              <w:spacing w:line="300" w:lineRule="exact"/>
              <w:jc w:val="left"/>
              <w:rPr>
                <w:rFonts w:ascii="????_GBK" w:eastAsia="Times New Roman"/>
              </w:rPr>
            </w:pP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确定调查品种、调查户，进行组织实施和检查监督</w:t>
            </w:r>
            <w:r>
              <w:rPr>
                <w:rFonts w:ascii="????_GBK" w:eastAsia="Times New Roman"/>
              </w:rPr>
              <w:t>,</w:t>
            </w:r>
            <w:r>
              <w:rPr>
                <w:rFonts w:hint="eastAsia" w:ascii="????_GBK" w:eastAsia="Times New Roman"/>
              </w:rPr>
              <w:t>并对调查品种数据进行收集、审核、汇总、分析。</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确保农产品调查合理布局，样本具有代表性，提高调查数据的科学性，为上级和县政府提供成本数据、分析预测趋势，为制定宏观经济政策、价格政策、稳定市场物价服务。</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农产品成本调查任务完成率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成本调查结果置信度</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、价格成本调查和定价成本监审</w:t>
            </w:r>
          </w:p>
        </w:tc>
        <w:tc>
          <w:tcPr>
            <w:tcW w:w="1276" w:type="dxa"/>
            <w:shd w:val="clear" w:color="auto" w:fill="auto"/>
            <w:vAlign w:val="center"/>
          </w:tcPr>
          <w:p>
            <w:pPr>
              <w:spacing w:line="300" w:lineRule="exact"/>
              <w:jc w:val="left"/>
              <w:rPr>
                <w:rFonts w:ascii="????_GBK" w:eastAsia="Times New Roman"/>
              </w:rPr>
            </w:pPr>
            <w:r>
              <w:rPr>
                <w:rFonts w:ascii="????_GBK" w:eastAsia="Times New Roman"/>
              </w:rPr>
              <w:t>50.00</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建立健全成本信息网络，组织成本汇总和成本分析；对列入《县价格成本监审管理目录》的商品和收费项目进行调定价监审。</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使成本监审工作规范化、程序化，确保成本监审工作依法有序地开展，为政府制定价格提供成本数据支撑。</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商品和收费定价监审率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三、价格监督检查</w:t>
            </w:r>
          </w:p>
        </w:tc>
        <w:tc>
          <w:tcPr>
            <w:tcW w:w="1276" w:type="dxa"/>
            <w:shd w:val="clear" w:color="auto" w:fill="auto"/>
            <w:vAlign w:val="center"/>
          </w:tcPr>
          <w:p>
            <w:pPr>
              <w:spacing w:line="300" w:lineRule="exact"/>
              <w:jc w:val="left"/>
              <w:rPr>
                <w:rFonts w:ascii="????_GBK" w:eastAsia="Times New Roman"/>
              </w:rPr>
            </w:pPr>
            <w:r>
              <w:rPr>
                <w:rFonts w:ascii="????_GBK" w:eastAsia="Times New Roman"/>
              </w:rPr>
              <w:t>5.00</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组织价格和收费监督检查；受理价格处罚的复议案件和申诉案件；依法办理价格举报案件；推行明码标价和价格、收费公示制度，对市场放开商品实施价格监管，加强反价格欺诈反垄断工作。</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治理价格违法行为，规范收费环境和价格秩序；确保价格行政执法、处罚、审理程序合法；推行明码标价，促进明码实价；促进经营者价格自律。</w:t>
            </w:r>
          </w:p>
        </w:tc>
        <w:tc>
          <w:tcPr>
            <w:tcW w:w="141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、法制与案件审理</w:t>
            </w:r>
          </w:p>
        </w:tc>
        <w:tc>
          <w:tcPr>
            <w:tcW w:w="1276" w:type="dxa"/>
            <w:vMerge w:val="restart"/>
            <w:shd w:val="clear" w:color="auto" w:fill="auto"/>
            <w:vAlign w:val="center"/>
          </w:tcPr>
          <w:p>
            <w:pPr>
              <w:spacing w:line="300" w:lineRule="exact"/>
              <w:jc w:val="left"/>
              <w:rPr>
                <w:rFonts w:ascii="????_GBK" w:eastAsia="Times New Roman"/>
              </w:rPr>
            </w:pP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对全县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确保依法办案，确保价格行政执法、处罚、审理程序合法。</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案件办结率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价格违法案件处理完成率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价格处罚的行政复议与诉讼完成率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70%</w:t>
            </w:r>
          </w:p>
        </w:tc>
        <w:tc>
          <w:tcPr>
            <w:tcW w:w="737" w:type="dxa"/>
            <w:shd w:val="clear" w:color="auto" w:fill="auto"/>
            <w:vAlign w:val="center"/>
          </w:tcPr>
          <w:p>
            <w:pPr>
              <w:spacing w:line="300" w:lineRule="exact"/>
              <w:jc w:val="left"/>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、商品和服务价格监督检查</w:t>
            </w:r>
          </w:p>
        </w:tc>
        <w:tc>
          <w:tcPr>
            <w:tcW w:w="1276" w:type="dxa"/>
            <w:vMerge w:val="restart"/>
            <w:shd w:val="clear" w:color="auto" w:fill="auto"/>
            <w:vAlign w:val="center"/>
          </w:tcPr>
          <w:p>
            <w:pPr>
              <w:spacing w:line="300" w:lineRule="exact"/>
              <w:jc w:val="left"/>
              <w:rPr>
                <w:rFonts w:ascii="????_GBK" w:eastAsia="Times New Roman"/>
              </w:rPr>
            </w:pPr>
            <w:r>
              <w:rPr>
                <w:rFonts w:ascii="????_GBK" w:eastAsia="Times New Roman"/>
              </w:rPr>
              <w:t>5.00</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规范市场价格秩序，打击虚构原价、虚假打折等欺诈行为；完善电子商务、网络购物、快递等新兴服务业价格动态应急处置机制，打击价格违法行为，防范价格异动。</w:t>
            </w:r>
          </w:p>
        </w:tc>
        <w:tc>
          <w:tcPr>
            <w:tcW w:w="2976" w:type="dxa"/>
            <w:vMerge w:val="restart"/>
            <w:shd w:val="clear" w:color="auto" w:fill="auto"/>
            <w:vAlign w:val="center"/>
          </w:tcPr>
          <w:p>
            <w:pPr>
              <w:spacing w:line="300" w:lineRule="exact"/>
              <w:jc w:val="left"/>
              <w:rPr>
                <w:rFonts w:hint="eastAsia" w:ascii="????_GBK" w:eastAsia="Times New Roman"/>
              </w:rPr>
            </w:pPr>
            <w:r>
              <w:rPr>
                <w:rFonts w:hint="eastAsia" w:ascii="????_GBK" w:eastAsia="Times New Roman"/>
              </w:rPr>
              <w:t>治理价格违法行为，规范收费环境和价格秩序；确保价格行政执法、处罚、审理程序合法；推行明码标价，促进明码实价；促进经营者价格自律。</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欺诈案件处理率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95%</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2976" w:type="dxa"/>
            <w:vMerge w:val="continue"/>
            <w:shd w:val="clear" w:color="auto" w:fill="auto"/>
            <w:vAlign w:val="center"/>
          </w:tcPr>
          <w:p>
            <w:pPr>
              <w:spacing w:line="300" w:lineRule="exact"/>
              <w:jc w:val="left"/>
              <w:rPr>
                <w:rFonts w:hint="eastAsia" w:ascii="????_GBK" w:eastAsia="Times New Roman"/>
              </w:rPr>
            </w:pP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价格和收费监督检查目标完成率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95%</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四、物价政务管理</w:t>
            </w:r>
          </w:p>
        </w:tc>
        <w:tc>
          <w:tcPr>
            <w:tcW w:w="1276" w:type="dxa"/>
            <w:shd w:val="clear" w:color="auto" w:fill="auto"/>
            <w:vAlign w:val="center"/>
          </w:tcPr>
          <w:p>
            <w:pPr>
              <w:spacing w:line="300" w:lineRule="exact"/>
              <w:jc w:val="left"/>
              <w:rPr>
                <w:rFonts w:ascii="????_GBK" w:eastAsia="Times New Roman"/>
              </w:rPr>
            </w:pP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负责机关综合业务管理和机关综合事务管理。</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建立舆情应急处置机制，健全价格舆情监测系统。</w:t>
            </w:r>
          </w:p>
        </w:tc>
        <w:tc>
          <w:tcPr>
            <w:tcW w:w="141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hint="eastAsia" w:ascii="????_GBK" w:eastAsia="Times New Roman"/>
              </w:rPr>
            </w:pPr>
          </w:p>
        </w:tc>
        <w:tc>
          <w:tcPr>
            <w:tcW w:w="737" w:type="dxa"/>
            <w:shd w:val="clear" w:color="auto" w:fill="auto"/>
            <w:vAlign w:val="center"/>
          </w:tcPr>
          <w:p>
            <w:pPr>
              <w:spacing w:line="300" w:lineRule="exact"/>
              <w:jc w:val="left"/>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_GBK" w:eastAsia="Times New Roman"/>
              </w:rPr>
            </w:pP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按照市场化的方向推进价格改革；建立舆情应急处置机制，健全价格舆情监测系统。</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完善舆情应急处置平台</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舆情应急处理及时性</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95%</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_GBK" w:eastAsia="Times New Roman"/>
              </w:rPr>
            </w:pP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围绕提高行政效率和服务质量，强</w:t>
            </w:r>
            <w:r>
              <w:rPr>
                <w:rFonts w:hint="eastAsia" w:ascii="宋体" w:hAnsi="宋体" w:eastAsia="宋体" w:cs="宋体"/>
              </w:rPr>
              <w:t>化管理措施，完善制度保障，打造廉洁高效的价格政务服务环境。根据当事人的申请，依法对各类市场主体之间的价格（或损失）争议进行调解处理。</w:t>
            </w:r>
          </w:p>
        </w:tc>
        <w:tc>
          <w:tcPr>
            <w:tcW w:w="2976" w:type="dxa"/>
            <w:shd w:val="clear" w:color="auto" w:fill="auto"/>
            <w:vAlign w:val="center"/>
          </w:tcPr>
          <w:p>
            <w:pPr>
              <w:spacing w:line="300" w:lineRule="exact"/>
              <w:jc w:val="left"/>
              <w:rPr>
                <w:rFonts w:hint="eastAsia" w:ascii="????_GBK" w:eastAsia="Times New Roman"/>
              </w:rPr>
            </w:pPr>
            <w:r>
              <w:rPr>
                <w:rFonts w:hint="eastAsia" w:ascii="????_GBK" w:eastAsia="Times New Roman"/>
              </w:rPr>
              <w:t>增强行政调解与人民调解、司法调解的衔接配合，充分发挥价格争议行政调解在预防、化解价格争议矛盾纠纷中的作用。</w:t>
            </w:r>
          </w:p>
        </w:tc>
        <w:tc>
          <w:tcPr>
            <w:tcW w:w="1417" w:type="dxa"/>
            <w:shd w:val="clear" w:color="auto" w:fill="auto"/>
            <w:vAlign w:val="center"/>
          </w:tcPr>
          <w:p>
            <w:pPr>
              <w:spacing w:line="300" w:lineRule="exact"/>
              <w:jc w:val="left"/>
              <w:rPr>
                <w:rFonts w:hint="eastAsia" w:ascii="????_GBK" w:eastAsia="Times New Roman"/>
              </w:rPr>
            </w:pPr>
            <w:r>
              <w:rPr>
                <w:rFonts w:hint="eastAsia" w:ascii="????_GBK" w:eastAsia="Times New Roman"/>
              </w:rPr>
              <w:t>综合事务管理工作完成率</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95%</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90%</w:t>
            </w:r>
          </w:p>
        </w:tc>
        <w:tc>
          <w:tcPr>
            <w:tcW w:w="737" w:type="dxa"/>
            <w:shd w:val="clear" w:color="auto" w:fill="auto"/>
            <w:vAlign w:val="center"/>
          </w:tcPr>
          <w:p>
            <w:pPr>
              <w:spacing w:line="300" w:lineRule="exact"/>
              <w:jc w:val="left"/>
              <w:rPr>
                <w:rFonts w:hint="eastAsia" w:ascii="????_GBK" w:eastAsia="Times New Roman"/>
              </w:rPr>
            </w:pPr>
            <w:r>
              <w:rPr>
                <w:rFonts w:hint="eastAsia" w:ascii="????_GBK" w:eastAsia="Times New Roman"/>
              </w:rPr>
              <w:t>≥</w:t>
            </w:r>
            <w:r>
              <w:rPr>
                <w:rFonts w:ascii="????_GBK" w:eastAsia="Times New Roman"/>
              </w:rPr>
              <w:t>80%</w:t>
            </w:r>
          </w:p>
        </w:tc>
        <w:tc>
          <w:tcPr>
            <w:tcW w:w="737" w:type="dxa"/>
            <w:shd w:val="clear" w:color="auto" w:fill="auto"/>
            <w:vAlign w:val="center"/>
          </w:tcPr>
          <w:p>
            <w:pPr>
              <w:spacing w:line="300" w:lineRule="exact"/>
              <w:jc w:val="left"/>
              <w:rPr>
                <w:rFonts w:ascii="????_GBK" w:eastAsia="Times New Roman"/>
              </w:rPr>
            </w:pPr>
            <w:r>
              <w:rPr>
                <w:rFonts w:ascii="????_GBK" w:eastAsia="Times New Roman"/>
              </w:rPr>
              <w:t>&lt;80%</w:t>
            </w:r>
          </w:p>
        </w:tc>
      </w:tr>
    </w:tbl>
    <w:p>
      <w:pPr>
        <w:spacing w:line="300" w:lineRule="exact"/>
        <w:jc w:val="left"/>
        <w:outlineLvl w:val="0"/>
      </w:pPr>
    </w:p>
    <w:p>
      <w:pPr>
        <w:spacing w:line="300" w:lineRule="exact"/>
        <w:jc w:val="left"/>
        <w:outlineLvl w:val="0"/>
      </w:pPr>
    </w:p>
    <w:p>
      <w:pPr>
        <w:spacing w:line="300" w:lineRule="exact"/>
        <w:jc w:val="left"/>
        <w:outlineLvl w:val="0"/>
      </w:pPr>
    </w:p>
    <w:p>
      <w:pPr>
        <w:jc w:val="center"/>
        <w:outlineLvl w:val="0"/>
        <w:rPr>
          <w:rFonts w:ascii="方正小标宋_GBK" w:hAnsi="Times New Roman" w:eastAsia="方正小标宋_GBK" w:cs="Times New Roman"/>
          <w:sz w:val="32"/>
          <w:szCs w:val="24"/>
        </w:rPr>
      </w:pPr>
    </w:p>
    <w:bookmarkEnd w:id="0"/>
    <w:p>
      <w:pPr>
        <w:autoSpaceDE w:val="0"/>
        <w:autoSpaceDN w:val="0"/>
        <w:adjustRightInd w:val="0"/>
        <w:ind w:left="200"/>
        <w:jc w:val="left"/>
        <w:rPr>
          <w:rFonts w:ascii="宋体" w:eastAsia="宋体" w:cs="宋体"/>
          <w:kern w:val="0"/>
          <w:sz w:val="18"/>
          <w:szCs w:val="18"/>
          <w:lang w:val="zh-CN"/>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widowControl/>
        <w:shd w:val="clear" w:color="auto" w:fill="FFFFFF"/>
        <w:spacing w:line="580" w:lineRule="atLeast"/>
        <w:ind w:firstLine="640"/>
        <w:jc w:val="left"/>
        <w:rPr>
          <w:rFonts w:ascii="仿宋" w:hAnsi="仿宋" w:eastAsia="仿宋" w:cs="Times New Roman"/>
          <w:sz w:val="32"/>
          <w:szCs w:val="32"/>
        </w:rPr>
      </w:pPr>
      <w:bookmarkStart w:id="1" w:name="_Toc471398468"/>
      <w:r>
        <w:rPr>
          <w:rFonts w:cs="Times New Roman" w:asciiTheme="minorEastAsia" w:hAnsiTheme="minorEastAsia"/>
          <w:sz w:val="32"/>
          <w:szCs w:val="32"/>
        </w:rPr>
        <w:t xml:space="preserve">  </w:t>
      </w:r>
      <w:bookmarkEnd w:id="1"/>
      <w:r>
        <w:rPr>
          <w:rFonts w:hint="eastAsia" w:ascii="仿宋" w:hAnsi="仿宋" w:eastAsia="仿宋" w:cs="Times New Roman"/>
          <w:sz w:val="32"/>
          <w:szCs w:val="32"/>
        </w:rPr>
        <w:t>本年度部门预算共计安排政府采购项目为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万元，其中：货物类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万元，主要包括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物品</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件（台、套）；工程类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万元，主要包括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工程</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项；服务类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万元，主要包括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服务</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项。</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物价局</w:t>
      </w:r>
      <w:r>
        <w:rPr>
          <w:rFonts w:hint="eastAsia"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72.20</w:t>
      </w:r>
      <w:r>
        <w:rPr>
          <w:rFonts w:hint="eastAsia" w:ascii="仿宋" w:hAnsi="仿宋" w:eastAsia="仿宋" w:cs="Times New Roman"/>
          <w:sz w:val="32"/>
          <w:szCs w:val="32"/>
        </w:rPr>
        <w:t>万元</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本年度</w:t>
      </w:r>
      <w:r>
        <w:rPr>
          <w:rFonts w:hint="eastAsia" w:ascii="仿宋" w:hAnsi="仿宋" w:eastAsia="仿宋" w:cs="Times New Roman"/>
          <w:sz w:val="32"/>
          <w:szCs w:val="32"/>
          <w:lang w:eastAsia="zh-CN"/>
        </w:rPr>
        <w:t>无</w:t>
      </w:r>
      <w:r>
        <w:rPr>
          <w:rFonts w:hint="eastAsia" w:ascii="仿宋" w:hAnsi="仿宋" w:eastAsia="仿宋" w:cs="Times New Roman"/>
          <w:sz w:val="32"/>
          <w:szCs w:val="32"/>
        </w:rPr>
        <w:t>拟购置固定资产。详见下表。</w:t>
      </w:r>
    </w:p>
    <w:p>
      <w:pPr>
        <w:ind w:firstLine="640"/>
        <w:rPr>
          <w:rFonts w:ascii="仿宋" w:hAnsi="仿宋" w:eastAsia="仿宋" w:cs="Times New Roman"/>
          <w:sz w:val="32"/>
          <w:szCs w:val="32"/>
        </w:rPr>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物价局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8</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77.72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47.00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30.72</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方正兰亭超细黑简体"/>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方正兰亭超细黑简体">
    <w:panose1 w:val="03000509000000000000"/>
    <w:charset w:val="86"/>
    <w:family w:val="auto"/>
    <w:pitch w:val="default"/>
    <w:sig w:usb0="A00002BF" w:usb1="184F6CFA"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6360E7C"/>
    <w:rsid w:val="07322D3A"/>
    <w:rsid w:val="14B701B7"/>
    <w:rsid w:val="20A863CB"/>
    <w:rsid w:val="29633610"/>
    <w:rsid w:val="301B2F95"/>
    <w:rsid w:val="4DC87F7D"/>
    <w:rsid w:val="746B7D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7"/>
    <w:link w:val="3"/>
    <w:qFormat/>
    <w:uiPriority w:val="0"/>
    <w:rPr>
      <w:rFonts w:ascii="Times New Roman" w:hAnsi="Times New Roman" w:eastAsia="宋体" w:cs="Times New Roman"/>
      <w:sz w:val="18"/>
      <w:szCs w:val="18"/>
    </w:rPr>
  </w:style>
  <w:style w:type="character" w:customStyle="1" w:styleId="9">
    <w:name w:val="页脚 Char"/>
    <w:basedOn w:val="7"/>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2340</Characters>
  <Lines>19</Lines>
  <Paragraphs>5</Paragraphs>
  <TotalTime>10</TotalTime>
  <ScaleCrop>false</ScaleCrop>
  <LinksUpToDate>false</LinksUpToDate>
  <CharactersWithSpaces>2745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lenovo</cp:lastModifiedBy>
  <dcterms:modified xsi:type="dcterms:W3CDTF">2019-03-14T01:29:24Z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